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FB" w:rsidRDefault="00AC4EFB">
      <w:pPr>
        <w:rPr>
          <w:lang w:val="uk-UA"/>
        </w:rPr>
      </w:pPr>
    </w:p>
    <w:p w:rsidR="00C70C19" w:rsidRPr="00C70C19" w:rsidRDefault="00C70C19" w:rsidP="00C70C19">
      <w:pPr>
        <w:shd w:val="clear" w:color="auto" w:fill="FFFFFF"/>
        <w:spacing w:before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C19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proofErr w:type="spellStart"/>
      <w:r w:rsidRPr="00C70C19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70C19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4" w:history="1"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«Про </w:t>
        </w:r>
        <w:proofErr w:type="spellStart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очищення</w:t>
        </w:r>
        <w:proofErr w:type="spellEnd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влади</w:t>
        </w:r>
        <w:proofErr w:type="spellEnd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</w:hyperlink>
      <w:r w:rsidRPr="00C70C1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заборон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третьою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четвертою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1 Закону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особами,  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обіймають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претендують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C1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C70C19">
        <w:rPr>
          <w:rFonts w:ascii="Times New Roman" w:hAnsi="Times New Roman" w:cs="Times New Roman"/>
          <w:sz w:val="28"/>
          <w:szCs w:val="28"/>
        </w:rPr>
        <w:t xml:space="preserve"> посад.  Порядок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1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C7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FC2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="00414FC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414FC2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414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FC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14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F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14FC2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414FC2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C70C19">
        <w:rPr>
          <w:rFonts w:ascii="Times New Roman" w:hAnsi="Times New Roman" w:cs="Times New Roman"/>
          <w:sz w:val="28"/>
          <w:szCs w:val="28"/>
          <w:lang w:val="uk-UA"/>
        </w:rPr>
        <w:t xml:space="preserve"> 2014 року </w:t>
      </w:r>
      <w:r w:rsidRPr="00C70C19">
        <w:rPr>
          <w:rFonts w:ascii="Times New Roman" w:hAnsi="Times New Roman" w:cs="Times New Roman"/>
          <w:sz w:val="28"/>
          <w:szCs w:val="28"/>
        </w:rPr>
        <w:t>№ 563 </w:t>
      </w:r>
      <w:hyperlink r:id="rId5" w:history="1"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«</w:t>
        </w:r>
        <w:proofErr w:type="spellStart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Деякі</w:t>
        </w:r>
        <w:proofErr w:type="spellEnd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питання</w:t>
        </w:r>
        <w:proofErr w:type="spellEnd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реалізації</w:t>
        </w:r>
        <w:proofErr w:type="spellEnd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Закону </w:t>
        </w:r>
        <w:proofErr w:type="spellStart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України</w:t>
        </w:r>
        <w:proofErr w:type="spellEnd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«Про </w:t>
        </w:r>
        <w:proofErr w:type="spellStart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очищення</w:t>
        </w:r>
        <w:proofErr w:type="spellEnd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влади</w:t>
        </w:r>
        <w:proofErr w:type="spellEnd"/>
        <w:r w:rsidRPr="00C70C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».</w:t>
        </w:r>
      </w:hyperlink>
    </w:p>
    <w:p w:rsidR="00C70C19" w:rsidRPr="00C70C19" w:rsidRDefault="00C70C19" w:rsidP="00C70C19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70C19">
        <w:rPr>
          <w:color w:val="000000"/>
          <w:sz w:val="28"/>
          <w:szCs w:val="28"/>
        </w:rPr>
        <w:t xml:space="preserve">На </w:t>
      </w:r>
      <w:proofErr w:type="spellStart"/>
      <w:r w:rsidRPr="00C70C19">
        <w:rPr>
          <w:color w:val="000000"/>
          <w:sz w:val="28"/>
          <w:szCs w:val="28"/>
        </w:rPr>
        <w:t>виконання</w:t>
      </w:r>
      <w:proofErr w:type="spellEnd"/>
      <w:r w:rsidRPr="00C70C19">
        <w:rPr>
          <w:color w:val="000000"/>
          <w:sz w:val="28"/>
          <w:szCs w:val="28"/>
        </w:rPr>
        <w:t xml:space="preserve"> </w:t>
      </w:r>
      <w:proofErr w:type="spellStart"/>
      <w:r w:rsidRPr="00C70C19">
        <w:rPr>
          <w:color w:val="000000"/>
          <w:sz w:val="28"/>
          <w:szCs w:val="28"/>
        </w:rPr>
        <w:t>вимог</w:t>
      </w:r>
      <w:proofErr w:type="spellEnd"/>
      <w:r w:rsidRPr="00C70C19">
        <w:rPr>
          <w:color w:val="000000"/>
          <w:sz w:val="28"/>
          <w:szCs w:val="28"/>
        </w:rPr>
        <w:t xml:space="preserve"> Закону </w:t>
      </w:r>
      <w:proofErr w:type="spellStart"/>
      <w:r w:rsidRPr="00C70C19">
        <w:rPr>
          <w:color w:val="000000"/>
          <w:sz w:val="28"/>
          <w:szCs w:val="28"/>
        </w:rPr>
        <w:t>України</w:t>
      </w:r>
      <w:proofErr w:type="spellEnd"/>
      <w:r w:rsidRPr="00C70C19">
        <w:rPr>
          <w:color w:val="000000"/>
          <w:sz w:val="28"/>
          <w:szCs w:val="28"/>
        </w:rPr>
        <w:t xml:space="preserve"> «Про </w:t>
      </w:r>
      <w:proofErr w:type="spellStart"/>
      <w:r w:rsidRPr="00C70C19">
        <w:rPr>
          <w:color w:val="000000"/>
          <w:sz w:val="28"/>
          <w:szCs w:val="28"/>
        </w:rPr>
        <w:t>очищення</w:t>
      </w:r>
      <w:proofErr w:type="spellEnd"/>
      <w:r w:rsidRPr="00C70C19">
        <w:rPr>
          <w:color w:val="000000"/>
          <w:sz w:val="28"/>
          <w:szCs w:val="28"/>
        </w:rPr>
        <w:t xml:space="preserve"> </w:t>
      </w:r>
      <w:proofErr w:type="spellStart"/>
      <w:r w:rsidRPr="00C70C19">
        <w:rPr>
          <w:color w:val="000000"/>
          <w:sz w:val="28"/>
          <w:szCs w:val="28"/>
        </w:rPr>
        <w:t>влади</w:t>
      </w:r>
      <w:proofErr w:type="spellEnd"/>
      <w:r w:rsidRPr="00C70C19">
        <w:rPr>
          <w:color w:val="000000"/>
          <w:sz w:val="28"/>
          <w:szCs w:val="28"/>
        </w:rPr>
        <w:t xml:space="preserve">» </w:t>
      </w:r>
      <w:proofErr w:type="spellStart"/>
      <w:r w:rsidRPr="00C70C19">
        <w:rPr>
          <w:color w:val="000000"/>
          <w:sz w:val="28"/>
          <w:szCs w:val="28"/>
        </w:rPr>
        <w:t>інформуємо</w:t>
      </w:r>
      <w:proofErr w:type="spellEnd"/>
      <w:r w:rsidRPr="00C70C19">
        <w:rPr>
          <w:color w:val="000000"/>
          <w:sz w:val="28"/>
          <w:szCs w:val="28"/>
        </w:rPr>
        <w:t xml:space="preserve"> про те, </w:t>
      </w:r>
      <w:proofErr w:type="spellStart"/>
      <w:r w:rsidRPr="00C70C19">
        <w:rPr>
          <w:color w:val="000000"/>
          <w:sz w:val="28"/>
          <w:szCs w:val="28"/>
        </w:rPr>
        <w:t>що</w:t>
      </w:r>
      <w:proofErr w:type="spellEnd"/>
      <w:r w:rsidRPr="00C70C19">
        <w:rPr>
          <w:color w:val="000000"/>
          <w:sz w:val="28"/>
          <w:szCs w:val="28"/>
        </w:rPr>
        <w:t xml:space="preserve"> </w:t>
      </w:r>
      <w:proofErr w:type="spellStart"/>
      <w:r w:rsidRPr="00C70C19">
        <w:rPr>
          <w:color w:val="000000"/>
          <w:sz w:val="28"/>
          <w:szCs w:val="28"/>
        </w:rPr>
        <w:t>розпочато</w:t>
      </w:r>
      <w:proofErr w:type="spellEnd"/>
      <w:r w:rsidRPr="00C70C1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70C19">
        <w:rPr>
          <w:color w:val="000000"/>
          <w:sz w:val="28"/>
          <w:szCs w:val="28"/>
        </w:rPr>
        <w:t>перев</w:t>
      </w:r>
      <w:proofErr w:type="gramEnd"/>
      <w:r w:rsidRPr="00C70C19">
        <w:rPr>
          <w:color w:val="000000"/>
          <w:sz w:val="28"/>
          <w:szCs w:val="28"/>
        </w:rPr>
        <w:t>ірку</w:t>
      </w:r>
      <w:proofErr w:type="spellEnd"/>
      <w:r w:rsidRPr="00C70C19">
        <w:rPr>
          <w:color w:val="000000"/>
          <w:sz w:val="28"/>
          <w:szCs w:val="28"/>
        </w:rPr>
        <w:t xml:space="preserve"> </w:t>
      </w:r>
      <w:proofErr w:type="spellStart"/>
      <w:r w:rsidRPr="00C70C19">
        <w:rPr>
          <w:color w:val="000000"/>
          <w:sz w:val="28"/>
          <w:szCs w:val="28"/>
        </w:rPr>
        <w:t>стосовно</w:t>
      </w:r>
      <w:proofErr w:type="spellEnd"/>
      <w:r w:rsidRPr="00C70C19">
        <w:rPr>
          <w:color w:val="000000"/>
          <w:sz w:val="28"/>
          <w:szCs w:val="28"/>
        </w:rPr>
        <w:t>:</w:t>
      </w:r>
    </w:p>
    <w:p w:rsidR="00C70C19" w:rsidRPr="00C70C19" w:rsidRDefault="00C70C19" w:rsidP="00C70C19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tbl>
      <w:tblPr>
        <w:tblW w:w="9667" w:type="dxa"/>
        <w:tblCellMar>
          <w:left w:w="0" w:type="dxa"/>
          <w:right w:w="0" w:type="dxa"/>
        </w:tblCellMar>
        <w:tblLook w:val="04A0"/>
      </w:tblPr>
      <w:tblGrid>
        <w:gridCol w:w="1702"/>
        <w:gridCol w:w="6485"/>
        <w:gridCol w:w="1480"/>
      </w:tblGrid>
      <w:tr w:rsidR="00C70C19" w:rsidRPr="00C70C19" w:rsidTr="00C70C19">
        <w:tc>
          <w:tcPr>
            <w:tcW w:w="0" w:type="auto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0C19" w:rsidRPr="00C70C19" w:rsidRDefault="00C70C19" w:rsidP="003634C7">
            <w:pPr>
              <w:pStyle w:val="a4"/>
              <w:spacing w:after="15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C70C19">
              <w:rPr>
                <w:color w:val="000000"/>
                <w:sz w:val="28"/>
                <w:szCs w:val="28"/>
              </w:rPr>
              <w:t>П.І.Б</w:t>
            </w:r>
          </w:p>
        </w:tc>
        <w:tc>
          <w:tcPr>
            <w:tcW w:w="655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0C19" w:rsidRPr="00C70C19" w:rsidRDefault="00C70C19" w:rsidP="003634C7">
            <w:pPr>
              <w:pStyle w:val="a4"/>
              <w:spacing w:after="15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C70C19">
              <w:rPr>
                <w:color w:val="000000"/>
                <w:sz w:val="28"/>
                <w:szCs w:val="28"/>
              </w:rPr>
              <w:t>Посада </w:t>
            </w:r>
          </w:p>
        </w:tc>
        <w:tc>
          <w:tcPr>
            <w:tcW w:w="1228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0C19" w:rsidRPr="00C70C19" w:rsidRDefault="00C70C19" w:rsidP="003634C7">
            <w:pPr>
              <w:pStyle w:val="a4"/>
              <w:spacing w:after="15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C70C19">
              <w:rPr>
                <w:color w:val="000000"/>
                <w:sz w:val="28"/>
                <w:szCs w:val="28"/>
              </w:rPr>
              <w:t>Дата</w:t>
            </w:r>
            <w:proofErr w:type="gramEnd"/>
            <w:r w:rsidRPr="00C70C19">
              <w:rPr>
                <w:color w:val="000000"/>
                <w:sz w:val="28"/>
                <w:szCs w:val="28"/>
              </w:rPr>
              <w:t xml:space="preserve"> початку </w:t>
            </w:r>
            <w:proofErr w:type="spellStart"/>
            <w:r w:rsidRPr="00C70C19">
              <w:rPr>
                <w:color w:val="000000"/>
                <w:sz w:val="28"/>
                <w:szCs w:val="28"/>
              </w:rPr>
              <w:t>перевірки</w:t>
            </w:r>
            <w:proofErr w:type="spellEnd"/>
            <w:r w:rsidRPr="00C70C1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0C19" w:rsidRPr="00C70C19" w:rsidTr="00C70C19">
        <w:tc>
          <w:tcPr>
            <w:tcW w:w="0" w:type="auto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0C19" w:rsidRPr="00C70C19" w:rsidRDefault="00C70C19" w:rsidP="003634C7">
            <w:pPr>
              <w:spacing w:line="360" w:lineRule="atLeast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C70C19">
              <w:rPr>
                <w:rFonts w:ascii="Times New Roman" w:hAnsi="Times New Roman" w:cs="Times New Roman"/>
                <w:color w:val="212529"/>
                <w:sz w:val="28"/>
                <w:szCs w:val="28"/>
                <w:lang w:val="uk-UA"/>
              </w:rPr>
              <w:t>МАРЧЕНКО</w:t>
            </w:r>
            <w:r w:rsidRPr="00C70C1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C70C19">
              <w:rPr>
                <w:rFonts w:ascii="Times New Roman" w:hAnsi="Times New Roman" w:cs="Times New Roman"/>
                <w:color w:val="212529"/>
                <w:sz w:val="28"/>
                <w:szCs w:val="28"/>
                <w:lang w:val="uk-UA"/>
              </w:rPr>
              <w:t>Євгенія</w:t>
            </w:r>
            <w:r w:rsidRPr="00C70C1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C70C19">
              <w:rPr>
                <w:rFonts w:ascii="Times New Roman" w:hAnsi="Times New Roman" w:cs="Times New Roman"/>
                <w:color w:val="212529"/>
                <w:sz w:val="28"/>
                <w:szCs w:val="28"/>
                <w:lang w:val="uk-UA"/>
              </w:rPr>
              <w:t>Михайлівна</w:t>
            </w:r>
            <w:r w:rsidRPr="00C70C1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  </w:t>
            </w:r>
          </w:p>
        </w:tc>
        <w:tc>
          <w:tcPr>
            <w:tcW w:w="655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0C19" w:rsidRPr="00C70C19" w:rsidRDefault="00C70C19" w:rsidP="00C70C19">
            <w:pPr>
              <w:pStyle w:val="a4"/>
              <w:spacing w:after="150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70C19"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 w:rsidRPr="00C70C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C19"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 w:rsidRPr="00C70C19"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C70C19">
              <w:rPr>
                <w:color w:val="000000"/>
                <w:sz w:val="28"/>
                <w:szCs w:val="28"/>
              </w:rPr>
              <w:t xml:space="preserve">  </w:t>
            </w:r>
            <w:r w:rsidRPr="00C70C19">
              <w:rPr>
                <w:color w:val="000000"/>
                <w:sz w:val="28"/>
                <w:szCs w:val="28"/>
                <w:lang w:val="uk-UA"/>
              </w:rPr>
              <w:t>- бухгалтер Архівного управління Криворізької районної державної адміністрації</w:t>
            </w:r>
            <w:r w:rsidRPr="00C70C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70C19" w:rsidRPr="00C70C19" w:rsidRDefault="00EC41B1" w:rsidP="003634C7">
            <w:pPr>
              <w:spacing w:line="360" w:lineRule="atLeast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uk-UA"/>
              </w:rPr>
              <w:t>05</w:t>
            </w:r>
            <w:r w:rsidR="00C70C19" w:rsidRPr="00C70C1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.0</w:t>
            </w:r>
            <w:r w:rsidR="00C70C19" w:rsidRPr="00C70C19">
              <w:rPr>
                <w:rFonts w:ascii="Times New Roman" w:hAnsi="Times New Roman" w:cs="Times New Roman"/>
                <w:color w:val="212529"/>
                <w:sz w:val="28"/>
                <w:szCs w:val="28"/>
                <w:lang w:val="uk-UA"/>
              </w:rPr>
              <w:t>9</w:t>
            </w:r>
            <w:r w:rsidR="00C70C19" w:rsidRPr="00C70C1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.202</w:t>
            </w:r>
            <w:r w:rsidR="00C70C19" w:rsidRPr="00C70C19">
              <w:rPr>
                <w:rFonts w:ascii="Times New Roman" w:hAnsi="Times New Roman" w:cs="Times New Roman"/>
                <w:color w:val="212529"/>
                <w:sz w:val="28"/>
                <w:szCs w:val="28"/>
                <w:lang w:val="uk-UA"/>
              </w:rPr>
              <w:t>4</w:t>
            </w:r>
            <w:r w:rsidR="00C70C19" w:rsidRPr="00C70C1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</w:tr>
    </w:tbl>
    <w:p w:rsidR="00C70C19" w:rsidRPr="00C70C19" w:rsidRDefault="00C70C19" w:rsidP="00C70C19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70C19" w:rsidRDefault="00C70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0C19">
        <w:rPr>
          <w:rFonts w:ascii="Times New Roman" w:hAnsi="Times New Roman" w:cs="Times New Roman"/>
          <w:sz w:val="28"/>
          <w:szCs w:val="28"/>
          <w:lang w:val="uk-UA"/>
        </w:rPr>
        <w:t>Файл, що додається:</w:t>
      </w:r>
    </w:p>
    <w:p w:rsidR="00C70C19" w:rsidRDefault="00C70C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                   Марченко Є.М.</w:t>
      </w:r>
    </w:p>
    <w:p w:rsidR="00C70C19" w:rsidRDefault="00C70C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декларація</w:t>
      </w:r>
    </w:p>
    <w:p w:rsidR="00414FC2" w:rsidRPr="00C70C19" w:rsidRDefault="00AA11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результати перевірки</w:t>
      </w:r>
    </w:p>
    <w:sectPr w:rsidR="00414FC2" w:rsidRPr="00C70C19" w:rsidSect="00AC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19"/>
    <w:rsid w:val="00107EF5"/>
    <w:rsid w:val="00225ACF"/>
    <w:rsid w:val="00414FC2"/>
    <w:rsid w:val="00AA11DD"/>
    <w:rsid w:val="00AC4EFB"/>
    <w:rsid w:val="00C70C19"/>
    <w:rsid w:val="00DA2114"/>
    <w:rsid w:val="00EC41B1"/>
    <w:rsid w:val="00FF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C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1.rada.gov.ua/laws/show/563-2014-%D0%BF" TargetMode="External"/><Relationship Id="rId4" Type="http://schemas.openxmlformats.org/officeDocument/2006/relationships/hyperlink" Target="http://zakon2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887</Characters>
  <Application>Microsoft Office Word</Application>
  <DocSecurity>0</DocSecurity>
  <Lines>7</Lines>
  <Paragraphs>2</Paragraphs>
  <ScaleCrop>false</ScaleCrop>
  <Company>DG Win&amp;Soft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DRVRDA1</dc:creator>
  <cp:lastModifiedBy>DRVRDA1</cp:lastModifiedBy>
  <cp:revision>4</cp:revision>
  <dcterms:created xsi:type="dcterms:W3CDTF">2024-09-02T09:56:00Z</dcterms:created>
  <dcterms:modified xsi:type="dcterms:W3CDTF">2024-09-10T05:19:00Z</dcterms:modified>
</cp:coreProperties>
</file>